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265BE7">
      <w:pPr>
        <w:pStyle w:val="13"/>
      </w:pPr>
      <w:r>
        <w:t>Wedge wire sieve plate</w:t>
      </w:r>
    </w:p>
    <w:p w14:paraId="54FF73ED">
      <w:pPr>
        <w:pStyle w:val="2"/>
      </w:pPr>
      <w:r>
        <w:t>Product Features</w:t>
      </w:r>
    </w:p>
    <w:p w14:paraId="7A019473">
      <w:pPr>
        <w:pStyle w:val="11"/>
        <w:numPr>
          <w:ilvl w:val="0"/>
          <w:numId w:val="1"/>
        </w:numPr>
        <w:ind w:left="0" w:leftChars="0" w:firstLine="480" w:firstLineChars="0"/>
        <w:rPr>
          <w:b w:val="0"/>
          <w:i w:val="0"/>
          <w:color w:val="1C1F23"/>
          <w:bdr w:val="none" w:sz="0" w:space="0"/>
        </w:rPr>
      </w:pPr>
      <w:r>
        <w:rPr>
          <w:i w:val="0"/>
          <w:color w:val="1C1F23"/>
        </w:rPr>
        <w:t>Material and Structure The sieve plate is made of high-quality stainless steel or alloy, featuring excellent corrosion resistance. It adopts a unique wedge wire design with a V-shaped profile, boasting precise dimensions and adjustable density. This design not only increases the filtration area and improves screening efficiency but also endows the sieve plate with remarkable advantages such as high strength and easy cleaning. 2. Performance Advantages Efficient Screening: Wedge wire sieve plates are renowned for efficient screening. The V-shaped design enables precise particle separation, significantly enhancing screening efficiency. Durability: Crafted from stainless steel, the sieve plate offers long-lasting performance, and its stable structural design extends the service life. Easy Maintenance: It allows for quick and convenient replacement and cleaning, resulting in low maintenance costs.</w:t>
      </w:r>
    </w:p>
    <w:p w14:paraId="5A9D8254">
      <w:pPr>
        <w:numPr>
          <w:numId w:val="0"/>
        </w:numPr>
        <w:spacing w:line="240" w:lineRule="auto"/>
        <w:ind w:left="120" w:leftChars="0"/>
        <w:rPr>
          <w:rFonts w:ascii="宋体" w:hAnsi="宋体" w:eastAsia="宋体" w:cs="宋体"/>
          <w:sz w:val="24"/>
          <w:szCs w:val="24"/>
        </w:rPr>
      </w:pPr>
      <w:r>
        <w:rPr>
          <w:rFonts w:ascii="宋体" w:hAnsi="宋体" w:eastAsia="宋体" w:cs="宋体"/>
          <w:sz w:val="24"/>
          <w:szCs w:val="24"/>
        </w:rPr>
        <w:drawing>
          <wp:inline distT="0" distB="0" distL="114300" distR="114300">
            <wp:extent cx="1686560" cy="2245360"/>
            <wp:effectExtent l="0" t="0" r="8890" b="254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686560" cy="2245360"/>
                    </a:xfrm>
                    <a:prstGeom prst="rect">
                      <a:avLst/>
                    </a:prstGeom>
                    <a:noFill/>
                    <a:ln w="9525">
                      <a:noFill/>
                    </a:ln>
                  </pic:spPr>
                </pic:pic>
              </a:graphicData>
            </a:graphic>
          </wp:inline>
        </w:drawing>
      </w:r>
    </w:p>
    <w:p w14:paraId="04D0E668">
      <w:pPr>
        <w:numPr>
          <w:numId w:val="0"/>
        </w:numPr>
        <w:ind w:left="120" w:leftChars="0"/>
        <w:rPr>
          <w:rFonts w:hint="eastAsia" w:ascii="宋体" w:hAnsi="宋体" w:eastAsia="宋体" w:cs="宋体"/>
          <w:sz w:val="24"/>
          <w:szCs w:val="24"/>
          <w:lang w:val="en-US" w:eastAsia="zh-CN"/>
        </w:rPr>
      </w:pPr>
    </w:p>
    <w:p w14:paraId="6D3FE5EB">
      <w:pPr>
        <w:pStyle w:val="11"/>
      </w:pPr>
      <w:r>
        <w:t>2.</w:t>
      </w:r>
    </w:p>
    <w:tbl>
      <w:tblPr>
        <w:tblW w:w="5000" w:type="pct"/>
        <w:tblInd w:w="0" w:type="dxa"/>
        <w:tblLayout w:type="autofit"/>
        <w:tblCellMar>
          <w:top w:w="0" w:type="dxa"/>
          <w:left w:w="0" w:type="dxa"/>
          <w:bottom w:w="0" w:type="dxa"/>
          <w:right w:w="0" w:type="dxa"/>
        </w:tblCellMar>
      </w:tblPr>
      <w:tblGrid>
        <w:gridCol w:w="1952"/>
        <w:gridCol w:w="6570"/>
      </w:tblGrid>
      <w:tr w14:paraId="537AA49F">
        <w:tc>
          <w:tcPr>
            <w:tcW w:w="1145"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2B4FACE9">
            <w:pPr>
              <w:jc w:val="center"/>
              <w:rPr>
                <w:rFonts w:hint="default" w:eastAsiaTheme="minorEastAsia"/>
                <w:b/>
                <w:lang w:val="en-US" w:eastAsia="zh-CN"/>
              </w:rPr>
            </w:pPr>
            <w:r>
              <w:rPr>
                <w:rFonts w:hint="eastAsia"/>
                <w:b/>
                <w:lang w:val="en-US" w:eastAsia="zh-CN"/>
              </w:rPr>
              <w:t>Material</w:t>
            </w:r>
          </w:p>
          <w:p w14:paraId="20F36994">
            <w:pPr>
              <w:jc w:val="center"/>
              <w:rPr>
                <w:b/>
              </w:rPr>
            </w:pPr>
          </w:p>
        </w:tc>
        <w:tc>
          <w:tcPr>
            <w:tcW w:w="3854"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774654AF">
            <w:pPr>
              <w:jc w:val="center"/>
              <w:rPr>
                <w:b/>
              </w:rPr>
            </w:pPr>
            <w:r>
              <w:rPr>
                <w:b/>
              </w:rPr>
              <w:t>SS304,SS304L,SS316,SS316L,SS321,Double work</w:t>
            </w:r>
            <w:r>
              <w:rPr>
                <w:rFonts w:hint="eastAsia"/>
                <w:b/>
                <w:lang w:val="en-US" w:eastAsia="zh-CN"/>
              </w:rPr>
              <w:t xml:space="preserve"> </w:t>
            </w:r>
            <w:r>
              <w:rPr>
                <w:b/>
              </w:rPr>
              <w:t>,</w:t>
            </w:r>
            <w:r>
              <w:rPr>
                <w:rFonts w:hint="eastAsia"/>
                <w:b/>
                <w:lang w:val="en-US" w:eastAsia="zh-CN"/>
              </w:rPr>
              <w:t xml:space="preserve"> </w:t>
            </w:r>
            <w:r>
              <w:rPr>
                <w:b/>
              </w:rPr>
              <w:t>Hastelloy</w:t>
            </w:r>
            <w:r>
              <w:rPr>
                <w:rFonts w:hint="eastAsia"/>
                <w:b/>
                <w:lang w:val="en-US" w:eastAsia="zh-CN"/>
              </w:rPr>
              <w:t xml:space="preserve"> </w:t>
            </w:r>
            <w:r>
              <w:rPr>
                <w:b/>
              </w:rPr>
              <w:t>,</w:t>
            </w:r>
            <w:r>
              <w:rPr>
                <w:rFonts w:hint="eastAsia"/>
                <w:b/>
                <w:lang w:val="en-US" w:eastAsia="zh-CN"/>
              </w:rPr>
              <w:t xml:space="preserve"> </w:t>
            </w:r>
            <w:r>
              <w:rPr>
                <w:b/>
              </w:rPr>
              <w:t>etc. or customized</w:t>
            </w:r>
          </w:p>
        </w:tc>
      </w:tr>
      <w:tr w14:paraId="5E07B7BA">
        <w:tc>
          <w:tcPr>
            <w:tcW w:w="1145"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4B4D2104">
            <w:r>
              <w:t>Length Range</w:t>
            </w:r>
          </w:p>
        </w:tc>
        <w:tc>
          <w:tcPr>
            <w:tcW w:w="3854"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42E2A8AA">
            <w:r>
              <w:t>Up to 6000mm</w:t>
            </w:r>
          </w:p>
        </w:tc>
      </w:tr>
      <w:tr w14:paraId="46BB3E7C">
        <w:tc>
          <w:tcPr>
            <w:tcW w:w="1145"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3F9A05A8">
            <w:r>
              <w:t>Width Range</w:t>
            </w:r>
          </w:p>
        </w:tc>
        <w:tc>
          <w:tcPr>
            <w:tcW w:w="3854"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6F240FBE">
            <w:r>
              <w:t>Up to 6000mm</w:t>
            </w:r>
          </w:p>
        </w:tc>
      </w:tr>
      <w:tr w14:paraId="16B7D7F9">
        <w:tc>
          <w:tcPr>
            <w:tcW w:w="1145"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554CA149">
            <w:r>
              <w:t>Slot Range</w:t>
            </w:r>
          </w:p>
        </w:tc>
        <w:tc>
          <w:tcPr>
            <w:tcW w:w="3854"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1F00248A">
            <w:r>
              <w:t>20μm to 3000μm (Tolerance:±5μm)</w:t>
            </w:r>
          </w:p>
        </w:tc>
      </w:tr>
      <w:tr w14:paraId="4B5A64B3">
        <w:tc>
          <w:tcPr>
            <w:tcW w:w="1145"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0894C370">
            <w:r>
              <w:t>Other Shapes</w:t>
            </w:r>
          </w:p>
        </w:tc>
        <w:tc>
          <w:tcPr>
            <w:tcW w:w="3854"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4E6FA6D6">
            <w:r>
              <w:t>Can be cut into any shape as required,such as circle,semicircle,sector,etc.</w:t>
            </w:r>
          </w:p>
        </w:tc>
      </w:tr>
      <w:tr w14:paraId="75FC785F">
        <w:tc>
          <w:tcPr>
            <w:tcW w:w="1145"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29F4CE2B">
            <w:r>
              <w:t>Wedge Wire</w:t>
            </w:r>
          </w:p>
        </w:tc>
        <w:tc>
          <w:tcPr>
            <w:tcW w:w="3854"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07FD74F3">
            <w:r>
              <w:t>0.5x1.5,0.75x1.5,1x2,1.5x2,2x3,2 x 4,3 x 5</w:t>
            </w:r>
          </w:p>
        </w:tc>
      </w:tr>
      <w:tr w14:paraId="171BF880">
        <w:tc>
          <w:tcPr>
            <w:tcW w:w="1145"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594E21A7">
            <w:r>
              <w:t>Support Rod</w:t>
            </w:r>
          </w:p>
        </w:tc>
        <w:tc>
          <w:tcPr>
            <w:tcW w:w="3854"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0CA97F9A">
            <w:r>
              <w:t>- For 0.5x1.5 wedge wire:1.5x2.5,2x3</w:t>
            </w:r>
            <w:r>
              <w:br w:type="textWrapping"/>
            </w:r>
            <w:r>
              <w:t>- For 0.75x1.5 wedge wire:1.5x2.5,2x3</w:t>
            </w:r>
            <w:r>
              <w:br w:type="textWrapping"/>
            </w:r>
            <w:r>
              <w:t>- For 1x2 wedge wire:1.5x2.5,2x3</w:t>
            </w:r>
            <w:r>
              <w:br w:type="textWrapping"/>
            </w:r>
            <w:r>
              <w:t>- For 1.5x2 wedge wire:1.8x2.5,2x3</w:t>
            </w:r>
            <w:r>
              <w:br w:type="textWrapping"/>
            </w:r>
            <w:r>
              <w:t>- For 2x3 wedge wire:2x3,2x4,3x5,3x6,3x10,4x7,5x6</w:t>
            </w:r>
            <w:r>
              <w:br w:type="textWrapping"/>
            </w:r>
            <w:r>
              <w:t>- For 2 x 4 wedge wire:2x4,3x5,3x6,3x10,4x7,5x6</w:t>
            </w:r>
            <w:r>
              <w:br w:type="textWrapping"/>
            </w:r>
            <w:r>
              <w:t>- For 3 x 5 wedge wire:3x5,3x6,4x7,5x6,5x8</w:t>
            </w:r>
          </w:p>
        </w:tc>
      </w:tr>
      <w:tr w14:paraId="418CCC74">
        <w:tc>
          <w:tcPr>
            <w:tcW w:w="1145"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69520B17">
            <w:r>
              <w:t>Special Requirements</w:t>
            </w:r>
          </w:p>
        </w:tc>
        <w:tc>
          <w:tcPr>
            <w:tcW w:w="3854"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7B231F72">
            <w:r>
              <w:t>With frame,without any frame,as required.</w:t>
            </w:r>
          </w:p>
        </w:tc>
      </w:tr>
      <w:tr w14:paraId="703FB1B3">
        <w:tc>
          <w:tcPr>
            <w:tcW w:w="1145"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29890B96">
            <w:r>
              <w:t>Remarks</w:t>
            </w:r>
          </w:p>
        </w:tc>
        <w:tc>
          <w:tcPr>
            <w:tcW w:w="3854" w:type="pct"/>
            <w:tcBorders>
              <w:top w:val="single" w:color="000000" w:sz="4" w:space="0"/>
              <w:left w:val="single" w:color="000000" w:sz="4" w:space="0"/>
              <w:bottom w:val="single" w:color="000000" w:sz="4" w:space="0"/>
              <w:right w:val="single" w:color="000000" w:sz="4" w:space="0"/>
            </w:tcBorders>
            <w:tcMar>
              <w:left w:w="108" w:type="dxa"/>
              <w:right w:w="108" w:type="dxa"/>
            </w:tcMar>
            <w:vAlign w:val="center"/>
          </w:tcPr>
          <w:p w14:paraId="31A900BD">
            <w:r>
              <w:t>Products need to be customized according to requirements</w:t>
            </w:r>
          </w:p>
        </w:tc>
      </w:tr>
    </w:tbl>
    <w:p w14:paraId="499E0F54">
      <w:pPr>
        <w:pStyle w:val="11"/>
      </w:pPr>
      <w:r>
        <w:t>III. Product Applications Wedge wire filter sieve plates can be widely applied in the following industries: chemical industry, petrochemical industry, environmental protection, sewage treatment, papermaking, seawater filtration, starch processing, sugar manufacturing, solid-liquid separation, coal washing and sorting, ore screening, construction, etc. • Malt Machinery: Suitable for use in malt selectors, germination beds, and drying ovens in malt factories. It features high ventilation efficiency and good heat dissipation performance. • Beer Machinery: Suitable for use in filter tanks of breweries, with advantages such as high open area ratio and long service life. • Mining Machinery: Used for desliming and dewatering in coal preparation at coal preparation plants. • Environmental Protection: Used in oil, gas, and water wells; through sand and gravel filling, it can prevent formation sand production and protect downhole and surface equipment. It has advantages including high open area ratio, large filtration area, fast filtration speed, and long service life. • Chemical Industry &amp; Others: ◦ Used for sewage treatment in sugar factories and paper mills; ◦ Used for material filtration and dewatering in chemical fertilizer plants, as well as supporting use in various paint baking rooms; ◦ Used for starch filtration in food factories; used for ventilation in grain storage;   • Construction Industry: Can be used as wedge wire flooring, etc.</w:t>
      </w:r>
    </w:p>
    <w:p w14:paraId="14D4F2AC">
      <w:pPr>
        <w:pStyle w:val="11"/>
        <w:rPr>
          <w:i w:val="0"/>
          <w:color w:val="171A1D"/>
        </w:rPr>
      </w:pPr>
      <w:r>
        <w:rPr>
          <w:i w:val="0"/>
          <w:color w:val="171A1D"/>
        </w:rPr>
        <w:t>4. Daily Maintenance Methods and Precautions: Regular Cleaning: Regularly remove impurities and blockages from the surface of the screen plate to maintain unobstructed screen slots. Avoid Impact: Prevent the screen plate from being hit by hard objects to avoid damaging the screening surface. Check Fasteners: Regularly check whether the fasteners of the screen plate are loose, and tighten them promptly if found loose. Lubrication Maintenance: Lubricate and maintain components such as bearings connected to the screen plate to reduce wear. Pay Attention to the Usage Environment: Avoid long-term use of the screen plate in corrosive environments to extend its service life. Please note that specific maintenance methods may vary depending on the material of the screen plate and the usage environment. It is recommended to refer to the product manual or consult professional technical personnel.</w:t>
      </w:r>
    </w:p>
    <w:p w14:paraId="78142918">
      <w:pPr>
        <w:pStyle w:val="11"/>
        <w:rPr>
          <w:i w:val="0"/>
          <w:color w:val="171A1D"/>
        </w:rPr>
      </w:pPr>
      <w:r>
        <w:drawing>
          <wp:inline distT="0" distB="0" distL="114300" distR="114300">
            <wp:extent cx="5273040" cy="2986405"/>
            <wp:effectExtent l="0" t="0" r="381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
                    <a:stretch>
                      <a:fillRect/>
                    </a:stretch>
                  </pic:blipFill>
                  <pic:spPr>
                    <a:xfrm>
                      <a:off x="0" y="0"/>
                      <a:ext cx="5273040" cy="2986405"/>
                    </a:xfrm>
                    <a:prstGeom prst="rect">
                      <a:avLst/>
                    </a:prstGeom>
                    <a:noFill/>
                    <a:ln>
                      <a:noFill/>
                    </a:ln>
                  </pic:spPr>
                </pic:pic>
              </a:graphicData>
            </a:graphic>
          </wp:inline>
        </w:drawing>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Symbol">
    <w:panose1 w:val="05050102010706020507"/>
    <w:charset w:val="00"/>
    <w:family w:val="auto"/>
    <w:pitch w:val="default"/>
    <w:sig w:usb0="00000000" w:usb1="00000000" w:usb2="00000000" w:usb3="00000000" w:csb0="80000000" w:csb1="00000000"/>
  </w:font>
  <w:font w:name="Montserra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31D341"/>
    <w:multiLevelType w:val="singleLevel"/>
    <w:tmpl w:val="9B31D341"/>
    <w:lvl w:ilvl="0" w:tentative="0">
      <w:start w:val="1"/>
      <w:numFmt w:val="decimal"/>
      <w:suff w:val="space"/>
      <w:lvlText w:val="%1."/>
      <w:lvlJc w:val="left"/>
      <w:pPr>
        <w:ind w:left="0" w:firstLine="48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E0679C"/>
    <w:rsid w:val="5DE0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next w:val="1"/>
    <w:qFormat/>
    <w:uiPriority w:val="0"/>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semiHidden/>
    <w:unhideWhenUsed/>
    <w:qFormat/>
    <w:uiPriority w:val="0"/>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semiHidden/>
    <w:unhideWhenUsed/>
    <w:qFormat/>
    <w:uiPriority w:val="0"/>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5">
    <w:name w:val="heading 4"/>
    <w:next w:val="1"/>
    <w:semiHidden/>
    <w:unhideWhenUsed/>
    <w:qFormat/>
    <w:uiPriority w:val="0"/>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6">
    <w:name w:val="heading 5"/>
    <w:next w:val="1"/>
    <w:semiHidden/>
    <w:unhideWhenUsed/>
    <w:qFormat/>
    <w:uiPriority w:val="0"/>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7">
    <w:name w:val="heading 6"/>
    <w:next w:val="1"/>
    <w:semiHidden/>
    <w:unhideWhenUsed/>
    <w:qFormat/>
    <w:uiPriority w:val="0"/>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8">
    <w:name w:val="heading 7"/>
    <w:next w:val="1"/>
    <w:semiHidden/>
    <w:unhideWhenUsed/>
    <w:qFormat/>
    <w:uiPriority w:val="0"/>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9">
    <w:name w:val="heading 8"/>
    <w:next w:val="1"/>
    <w:semiHidden/>
    <w:unhideWhenUsed/>
    <w:qFormat/>
    <w:uiPriority w:val="0"/>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uiPriority w:val="0"/>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15">
    <w:name w:val="Default Paragraph Font"/>
    <w:semiHidden/>
    <w:uiPriority w:val="0"/>
  </w:style>
  <w:style w:type="table" w:default="1" w:styleId="14">
    <w:name w:val="Normal Table"/>
    <w:semiHidden/>
    <w:uiPriority w:val="0"/>
    <w:tblPr>
      <w:tblCellMar>
        <w:top w:w="0" w:type="dxa"/>
        <w:left w:w="108" w:type="dxa"/>
        <w:bottom w:w="0" w:type="dxa"/>
        <w:right w:w="108" w:type="dxa"/>
      </w:tblCellMar>
    </w:tblPr>
  </w:style>
  <w:style w:type="paragraph" w:styleId="11">
    <w:name w:val="Body Text"/>
    <w:uiPriority w:val="0"/>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12">
    <w:name w:val="Subtitle"/>
    <w:qFormat/>
    <w:uiPriority w:val="0"/>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13">
    <w:name w:val="Title"/>
    <w:qFormat/>
    <w:uiPriority w:val="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14</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2025-08-25T05:10:00Z</dcterms:created>
  <dc:creator>赵晶</dc:creator>
  <cp:lastModifiedBy>赵晶</cp:lastModifiedBy>
  <dcterms:modified xsi:type="dcterms:W3CDTF">2025-08-25T05:25:25Z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B2CD96B4FB0C44A98D6F871C227C2926_11</vt:lpwstr>
  </property>
  <property fmtid="{D5CDD505-2E9C-101B-9397-08002B2CF9AE}" pid="4" name="KSOTemplateDocerSaveRecord">
    <vt:lpwstr>eyJoZGlkIjoiMjQ4ZDg4ZTQ0YWRkZDE2ZDZkMzdmODdlNzcxYjQzMGEiLCJ1c2VySWQiOiIyNTUxNTQxOTcifQ==</vt:lpwstr>
  </property>
</Properties>
</file>